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403D5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凯里市第一人民医院信息科三年期电子票据推送患者服务</w:t>
      </w:r>
      <w:r>
        <w:rPr>
          <w:rFonts w:hint="eastAsia" w:ascii="黑体" w:hAnsi="黑体" w:eastAsia="黑体" w:cs="黑体"/>
          <w:sz w:val="44"/>
          <w:szCs w:val="44"/>
        </w:rPr>
        <w:t>采购项目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需求参数</w:t>
      </w:r>
    </w:p>
    <w:p w14:paraId="39DBB6CB">
      <w:pPr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568AEF68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1、微信电子票夹小程序:患者通过电子票夹小程序面向医院及交款人提供开票服务通知、个性化取票、展示、保管、下载等便捷线上渠道服务。</w:t>
      </w:r>
    </w:p>
    <w:p w14:paraId="09BE694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2、为病人提供用票咨询、问题快速响应、即时处理服务。</w:t>
      </w:r>
    </w:p>
    <w:p w14:paraId="554897B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3、微信扫码服务:交款人通过微信直接扫描H5定制化二维码信息，查看电子发票文件，实现交付归集。</w:t>
      </w:r>
    </w:p>
    <w:p w14:paraId="000C5F3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4、提供专人运维服务通道、及时响应处理单位提出的服务请求，</w:t>
      </w:r>
    </w:p>
    <w:p w14:paraId="3288BD9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5、提供票据系统的业务年结和技术年结服务工作。</w:t>
      </w:r>
    </w:p>
    <w:p w14:paraId="5A4B117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6、提供医疗票据系统涉及的数据库、中间件、操作系统等IT环境的漏洞修复协助服务。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</cp:lastModifiedBy>
  <dcterms:modified xsi:type="dcterms:W3CDTF">2025-11-03T03:59:03Z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eyJoZGlkIjoiODAwYTU2YTU4MGU3MzI3ZTgzYTE5YWY2NTcwMzg5MmIiLCJ1c2VySWQiOiIzMDUyMTIzODMifQ==</vt:lpwstr>
  </property>
  <property fmtid="{D5CDD505-2E9C-101B-9397-08002B2CF9AE}" pid="4" name="ICV">
    <vt:lpwstr>D71D81E3B7754680A4141A6C1072C676_12</vt:lpwstr>
  </property>
</Properties>
</file>