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4FE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5"/>
        <w:jc w:val="both"/>
        <w:textAlignment w:val="auto"/>
        <w:rPr>
          <w:rFonts w:hint="eastAsia" w:ascii="黑体" w:hAnsi="宋体" w:eastAsia="黑体" w:cs="黑体"/>
          <w:color w:val="222222"/>
          <w:spacing w:val="0"/>
          <w:sz w:val="31"/>
          <w:szCs w:val="31"/>
          <w:lang w:val="en-US" w:eastAsia="zh-CN"/>
        </w:rPr>
      </w:pPr>
      <w:r>
        <w:rPr>
          <w:rFonts w:hint="eastAsia" w:ascii="黑体" w:hAnsi="宋体" w:eastAsia="黑体" w:cs="黑体"/>
          <w:color w:val="222222"/>
          <w:spacing w:val="0"/>
          <w:sz w:val="31"/>
          <w:szCs w:val="31"/>
          <w:lang w:val="en-US" w:eastAsia="zh-CN"/>
        </w:rPr>
        <w:t>软件功能及设备参数</w:t>
      </w:r>
    </w:p>
    <w:tbl>
      <w:tblPr>
        <w:tblStyle w:val="8"/>
        <w:tblpPr w:leftFromText="180" w:rightFromText="180" w:vertAnchor="text" w:horzAnchor="page" w:tblpX="1633" w:tblpY="206"/>
        <w:tblOverlap w:val="never"/>
        <w:tblW w:w="8935" w:type="dxa"/>
        <w:tblInd w:w="0" w:type="dxa"/>
        <w:tblLayout w:type="fixed"/>
        <w:tblCellMar>
          <w:top w:w="0" w:type="dxa"/>
          <w:left w:w="108" w:type="dxa"/>
          <w:bottom w:w="0" w:type="dxa"/>
          <w:right w:w="108" w:type="dxa"/>
        </w:tblCellMar>
      </w:tblPr>
      <w:tblGrid>
        <w:gridCol w:w="437"/>
        <w:gridCol w:w="1443"/>
        <w:gridCol w:w="4955"/>
        <w:gridCol w:w="720"/>
        <w:gridCol w:w="700"/>
        <w:gridCol w:w="680"/>
      </w:tblGrid>
      <w:tr w14:paraId="7A8ABFEA">
        <w:tblPrEx>
          <w:tblLayout w:type="fixed"/>
        </w:tblPrEx>
        <w:trPr>
          <w:trHeight w:val="414" w:hRule="atLeast"/>
        </w:trPr>
        <w:tc>
          <w:tcPr>
            <w:tcW w:w="437"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738BED4A">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1443" w:type="dxa"/>
            <w:tcBorders>
              <w:top w:val="single" w:color="000000" w:sz="4" w:space="0"/>
              <w:left w:val="single" w:color="auto" w:sz="4" w:space="0"/>
              <w:bottom w:val="single" w:color="000000" w:sz="4" w:space="0"/>
              <w:right w:val="single" w:color="000000" w:sz="4" w:space="0"/>
            </w:tcBorders>
            <w:shd w:val="clear" w:color="auto" w:fill="F1F1F1" w:themeFill="background1" w:themeFillShade="F2"/>
            <w:vAlign w:val="center"/>
          </w:tcPr>
          <w:p w14:paraId="7B0B9BDE">
            <w:pPr>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名称</w:t>
            </w:r>
          </w:p>
        </w:tc>
        <w:tc>
          <w:tcPr>
            <w:tcW w:w="4955"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5CEBFDF3">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技术指标要求</w:t>
            </w:r>
          </w:p>
        </w:tc>
        <w:tc>
          <w:tcPr>
            <w:tcW w:w="72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7384FB7E">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数量</w:t>
            </w:r>
          </w:p>
        </w:tc>
        <w:tc>
          <w:tcPr>
            <w:tcW w:w="70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617537F6">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单位</w:t>
            </w:r>
          </w:p>
        </w:tc>
        <w:tc>
          <w:tcPr>
            <w:tcW w:w="68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353EA3AB">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14:paraId="279CE85E">
        <w:tblPrEx>
          <w:tblLayout w:type="fixed"/>
        </w:tblPrEx>
        <w:trPr>
          <w:trHeight w:val="414"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EED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443" w:type="dxa"/>
            <w:tcBorders>
              <w:top w:val="single" w:color="000000" w:sz="4" w:space="0"/>
              <w:left w:val="single" w:color="auto" w:sz="4" w:space="0"/>
              <w:bottom w:val="single" w:color="000000" w:sz="4" w:space="0"/>
              <w:right w:val="single" w:color="000000" w:sz="4" w:space="0"/>
            </w:tcBorders>
            <w:shd w:val="clear" w:color="auto" w:fill="auto"/>
            <w:vAlign w:val="center"/>
          </w:tcPr>
          <w:p w14:paraId="6FE7CDC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快速入库</w:t>
            </w:r>
          </w:p>
        </w:tc>
        <w:tc>
          <w:tcPr>
            <w:tcW w:w="4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872A">
            <w:pPr>
              <w:widowControl/>
              <w:numPr>
                <w:ilvl w:val="0"/>
                <w:numId w:val="0"/>
              </w:numPr>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lang w:val="en-US" w:eastAsia="zh-CN"/>
              </w:rPr>
              <w:t>导入HIS药品基本信息进行多码融合校验，由平台核验his药品编码、医保编码、追溯码映射关联。</w:t>
            </w:r>
          </w:p>
          <w:p w14:paraId="5995F4BD">
            <w:pPr>
              <w:widowControl/>
              <w:numPr>
                <w:ilvl w:val="0"/>
                <w:numId w:val="0"/>
              </w:numPr>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lang w:val="en-US" w:eastAsia="zh-CN"/>
              </w:rPr>
              <w:t>支持20位追溯码解析药品生产信息及箱码层级关联关系，支持码上放心、嘉华、爱创等主流追溯平台； 支持GS1编码及箱码层级关联关系，需要支持嘉华、爱创、礼来等主流追溯平台。</w:t>
            </w:r>
          </w:p>
          <w:p w14:paraId="741DB1D2">
            <w:pPr>
              <w:widowControl/>
              <w:numPr>
                <w:ilvl w:val="0"/>
                <w:numId w:val="0"/>
              </w:numPr>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lang w:val="en-US" w:eastAsia="zh-CN"/>
              </w:rPr>
              <w:t>维护或导入供应商信息，用于进行药品的配送协同、从追溯平台获取追溯码关联关系。</w:t>
            </w:r>
          </w:p>
          <w:p w14:paraId="3147B143">
            <w:pPr>
              <w:widowControl/>
              <w:numPr>
                <w:ilvl w:val="0"/>
                <w:numId w:val="0"/>
              </w:numPr>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lang w:val="en-US" w:eastAsia="zh-CN"/>
              </w:rPr>
              <w:t>支持供应商通过接口将随货同行单信息（配送品种、生产批号、生产日期、失效日期、数量、单价、金额、发票号、开票日期等）及追溯码信息上传。</w:t>
            </w:r>
          </w:p>
          <w:p w14:paraId="680E7D2F">
            <w:pPr>
              <w:widowControl/>
              <w:numPr>
                <w:ilvl w:val="0"/>
                <w:numId w:val="0"/>
              </w:numPr>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lang w:val="en-US" w:eastAsia="zh-CN"/>
              </w:rPr>
              <w:t>快速验收：（1）PDA扫码追溯码快速定位配送信息，并逐一扫描追溯码进行核验；（2）</w:t>
            </w:r>
            <w:r>
              <w:rPr>
                <w:rFonts w:hint="eastAsia" w:ascii="宋体" w:hAnsi="宋体" w:eastAsia="宋体" w:cs="宋体"/>
                <w:i w:val="0"/>
                <w:iCs w:val="0"/>
                <w:color w:val="000000"/>
                <w:kern w:val="0"/>
                <w:sz w:val="21"/>
                <w:szCs w:val="21"/>
                <w:u w:val="none"/>
                <w:lang w:val="en-US" w:eastAsia="zh-CN" w:bidi="ar"/>
              </w:rPr>
              <w:t>高拍仪批量扫码自动解析追溯码并校验药品批号和失效日期。（3）▲上游到货管理，支持医疗机构收货时查看上游供应商上传追溯平台的本单位出库单信息，并支持转医疗机构入库单功能。（4）▲前置核验管理，支持上游商业公司对接节点平台后上传的随货同行单、发票、药品追溯码等信息自动核验功能。</w:t>
            </w:r>
          </w:p>
          <w:p w14:paraId="7BDBBC3A">
            <w:pPr>
              <w:widowControl/>
              <w:numPr>
                <w:ilvl w:val="0"/>
                <w:numId w:val="0"/>
              </w:numPr>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lang w:val="en-US" w:eastAsia="zh-CN"/>
              </w:rPr>
              <w:t>提供入库数据导出功能及入库数据获取的标准接口，HIS可通过通过接口或导入文件的方式获取入库信息和追溯码，在HIS系统中实现快速入库，追溯数据满足医保局对追溯码采集要求。</w:t>
            </w:r>
          </w:p>
        </w:tc>
        <w:tc>
          <w:tcPr>
            <w:tcW w:w="720" w:type="dxa"/>
            <w:tcBorders>
              <w:top w:val="single" w:color="000000" w:sz="4" w:space="0"/>
              <w:left w:val="single" w:color="000000" w:sz="4" w:space="0"/>
              <w:bottom w:val="single" w:color="000000" w:sz="4" w:space="0"/>
              <w:right w:val="single" w:color="000000" w:sz="4" w:space="0"/>
            </w:tcBorders>
            <w:vAlign w:val="center"/>
          </w:tcPr>
          <w:p w14:paraId="0330040D">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700" w:type="dxa"/>
            <w:tcBorders>
              <w:top w:val="single" w:color="000000" w:sz="4" w:space="0"/>
              <w:left w:val="single" w:color="000000" w:sz="4" w:space="0"/>
              <w:bottom w:val="single" w:color="000000" w:sz="4" w:space="0"/>
              <w:right w:val="single" w:color="000000" w:sz="4" w:space="0"/>
            </w:tcBorders>
            <w:vAlign w:val="center"/>
          </w:tcPr>
          <w:p w14:paraId="5C11577F">
            <w:pPr>
              <w:widowControl/>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套</w:t>
            </w:r>
          </w:p>
        </w:tc>
        <w:tc>
          <w:tcPr>
            <w:tcW w:w="680" w:type="dxa"/>
            <w:tcBorders>
              <w:top w:val="single" w:color="000000" w:sz="4" w:space="0"/>
              <w:left w:val="single" w:color="000000" w:sz="4" w:space="0"/>
              <w:bottom w:val="single" w:color="000000" w:sz="4" w:space="0"/>
              <w:right w:val="single" w:color="000000" w:sz="4" w:space="0"/>
            </w:tcBorders>
          </w:tcPr>
          <w:p w14:paraId="6E71E90C">
            <w:pPr>
              <w:widowControl/>
              <w:jc w:val="right"/>
              <w:rPr>
                <w:rFonts w:hint="eastAsia" w:ascii="宋体" w:hAnsi="宋体" w:eastAsia="宋体" w:cs="宋体"/>
                <w:color w:val="000000"/>
                <w:kern w:val="0"/>
                <w:sz w:val="21"/>
                <w:szCs w:val="21"/>
                <w:lang w:val="en-US" w:eastAsia="zh-CN"/>
              </w:rPr>
            </w:pPr>
          </w:p>
          <w:p w14:paraId="05684D9B">
            <w:pPr>
              <w:widowControl/>
              <w:jc w:val="right"/>
              <w:rPr>
                <w:rFonts w:hint="eastAsia" w:ascii="宋体" w:hAnsi="宋体" w:eastAsia="宋体" w:cs="宋体"/>
                <w:color w:val="000000"/>
                <w:kern w:val="0"/>
                <w:sz w:val="21"/>
                <w:szCs w:val="21"/>
                <w:lang w:val="en-US" w:eastAsia="zh-CN"/>
              </w:rPr>
            </w:pPr>
          </w:p>
          <w:p w14:paraId="3EDD8DE3">
            <w:pPr>
              <w:widowControl/>
              <w:jc w:val="right"/>
              <w:rPr>
                <w:rFonts w:hint="eastAsia" w:ascii="宋体" w:hAnsi="宋体" w:eastAsia="宋体" w:cs="宋体"/>
                <w:color w:val="000000"/>
                <w:kern w:val="0"/>
                <w:sz w:val="21"/>
                <w:szCs w:val="21"/>
                <w:lang w:val="en-US" w:eastAsia="zh-CN"/>
              </w:rPr>
            </w:pPr>
          </w:p>
          <w:p w14:paraId="3558C8D7">
            <w:pPr>
              <w:widowControl/>
              <w:jc w:val="both"/>
              <w:rPr>
                <w:rFonts w:hint="eastAsia" w:ascii="宋体" w:hAnsi="宋体" w:eastAsia="宋体" w:cs="宋体"/>
                <w:color w:val="000000"/>
                <w:kern w:val="0"/>
                <w:sz w:val="21"/>
                <w:szCs w:val="21"/>
                <w:lang w:val="en-US" w:eastAsia="zh-CN"/>
              </w:rPr>
            </w:pPr>
          </w:p>
          <w:p w14:paraId="23CC7ECA">
            <w:pPr>
              <w:widowControl/>
              <w:jc w:val="both"/>
              <w:rPr>
                <w:rFonts w:hint="eastAsia" w:ascii="宋体" w:hAnsi="宋体" w:eastAsia="宋体" w:cs="宋体"/>
                <w:color w:val="000000"/>
                <w:kern w:val="0"/>
                <w:sz w:val="21"/>
                <w:szCs w:val="21"/>
                <w:lang w:val="en-US" w:eastAsia="zh-CN"/>
              </w:rPr>
            </w:pPr>
          </w:p>
          <w:p w14:paraId="204D19CC">
            <w:pPr>
              <w:widowControl/>
              <w:jc w:val="both"/>
              <w:rPr>
                <w:rFonts w:hint="eastAsia" w:ascii="宋体" w:hAnsi="宋体" w:eastAsia="宋体" w:cs="宋体"/>
                <w:color w:val="000000"/>
                <w:kern w:val="0"/>
                <w:sz w:val="21"/>
                <w:szCs w:val="21"/>
                <w:lang w:val="en-US" w:eastAsia="zh-CN"/>
              </w:rPr>
            </w:pPr>
          </w:p>
          <w:p w14:paraId="3BC94EAF">
            <w:pPr>
              <w:widowControl/>
              <w:jc w:val="both"/>
              <w:rPr>
                <w:rFonts w:hint="eastAsia" w:ascii="宋体" w:hAnsi="宋体" w:eastAsia="宋体" w:cs="宋体"/>
                <w:color w:val="000000"/>
                <w:kern w:val="0"/>
                <w:sz w:val="21"/>
                <w:szCs w:val="21"/>
              </w:rPr>
            </w:pPr>
          </w:p>
        </w:tc>
      </w:tr>
      <w:tr w14:paraId="7EC93C07">
        <w:tblPrEx>
          <w:tblLayout w:type="fixed"/>
        </w:tblPrEx>
        <w:trPr>
          <w:trHeight w:val="414"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C8BD">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1443" w:type="dxa"/>
            <w:tcBorders>
              <w:top w:val="single" w:color="000000" w:sz="4" w:space="0"/>
              <w:left w:val="single" w:color="auto" w:sz="4" w:space="0"/>
              <w:bottom w:val="single" w:color="000000" w:sz="4" w:space="0"/>
              <w:right w:val="single" w:color="000000" w:sz="4" w:space="0"/>
            </w:tcBorders>
            <w:shd w:val="clear" w:color="auto" w:fill="auto"/>
            <w:vAlign w:val="center"/>
          </w:tcPr>
          <w:p w14:paraId="25B26A51">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发药</w:t>
            </w:r>
          </w:p>
        </w:tc>
        <w:tc>
          <w:tcPr>
            <w:tcW w:w="4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40F49">
            <w:pPr>
              <w:widowControl/>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支持HIS通过接口调用，解析追溯码核对药品处方的品种、数量、效期、批号、生产日期、库存阈值等。</w:t>
            </w:r>
          </w:p>
          <w:p w14:paraId="7631D52E">
            <w:pPr>
              <w:widowControl/>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扫描到药品追溯码未匹配到药品信息时，支持人工核验并关联药品信息，新关联的药品信息将自动更新至药品库，确保信息完整性与实时性。</w:t>
            </w:r>
          </w:p>
          <w:p w14:paraId="2FCCCE10">
            <w:pPr>
              <w:widowControl/>
              <w:numPr>
                <w:ilvl w:val="0"/>
                <w:numId w:val="1"/>
              </w:numPr>
              <w:jc w:val="left"/>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bidi="ar"/>
              </w:rPr>
              <w:t>扫码超量时支持撤销扫码，从已扫追溯码中删除。</w:t>
            </w:r>
          </w:p>
          <w:p w14:paraId="3EB1D57B">
            <w:pPr>
              <w:widowControl/>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扫码时统计药品总数、进度、异常记录，助力发药管理。</w:t>
            </w:r>
          </w:p>
          <w:p w14:paraId="0793AD6A">
            <w:pPr>
              <w:widowControl/>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门急诊发药完成后，支持将药品追溯数据通过医保专网上传至医保系统，同时也支持回传至HIS，由HIS完成医保上传操作。</w:t>
            </w:r>
          </w:p>
          <w:p w14:paraId="795F1BBF">
            <w:pPr>
              <w:widowControl/>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住院发药完成后将发药结果暂存本地发药信息库，暂不上传医保系统，</w:t>
            </w:r>
            <w:r>
              <w:rPr>
                <w:rFonts w:hint="eastAsia" w:ascii="宋体" w:hAnsi="宋体" w:eastAsia="宋体" w:cs="宋体"/>
                <w:color w:val="000000" w:themeColor="text1"/>
                <w:kern w:val="0"/>
                <w:sz w:val="21"/>
                <w:szCs w:val="21"/>
                <w:lang w:bidi="ar"/>
                <w14:textFill>
                  <w14:solidFill>
                    <w14:schemeClr w14:val="tx1"/>
                  </w14:solidFill>
                </w14:textFill>
              </w:rPr>
              <w:t>出院医嘱结算时，HIS通过</w:t>
            </w:r>
            <w:r>
              <w:rPr>
                <w:rFonts w:hint="eastAsia" w:ascii="宋体" w:hAnsi="宋体" w:eastAsia="宋体" w:cs="宋体"/>
                <w:color w:val="000000" w:themeColor="text1"/>
                <w:kern w:val="0"/>
                <w:sz w:val="21"/>
                <w:szCs w:val="21"/>
                <w:lang w:val="en-US" w:eastAsia="zh-CN" w:bidi="ar"/>
                <w14:textFill>
                  <w14:solidFill>
                    <w14:schemeClr w14:val="tx1"/>
                  </w14:solidFill>
                </w14:textFill>
              </w:rPr>
              <w:t>接口调用</w:t>
            </w:r>
            <w:r>
              <w:rPr>
                <w:rFonts w:hint="eastAsia" w:ascii="宋体" w:hAnsi="宋体" w:eastAsia="宋体" w:cs="宋体"/>
                <w:color w:val="000000" w:themeColor="text1"/>
                <w:kern w:val="0"/>
                <w:sz w:val="21"/>
                <w:szCs w:val="21"/>
                <w:lang w:bidi="ar"/>
                <w14:textFill>
                  <w14:solidFill>
                    <w14:schemeClr w14:val="tx1"/>
                  </w14:solidFill>
                </w14:textFill>
              </w:rPr>
              <w:t>，根据医嘱号查询关联药品的追溯数据</w:t>
            </w:r>
            <w:r>
              <w:rPr>
                <w:rFonts w:hint="eastAsia" w:ascii="宋体" w:hAnsi="宋体" w:eastAsia="宋体" w:cs="宋体"/>
                <w:color w:val="000000" w:themeColor="text1"/>
                <w:kern w:val="0"/>
                <w:sz w:val="21"/>
                <w:szCs w:val="21"/>
                <w:lang w:val="en-US" w:eastAsia="zh-CN" w:bidi="ar"/>
                <w14:textFill>
                  <w14:solidFill>
                    <w14:schemeClr w14:val="tx1"/>
                  </w14:solidFill>
                </w14:textFill>
              </w:rPr>
              <w:t>并</w:t>
            </w:r>
            <w:r>
              <w:rPr>
                <w:rFonts w:hint="eastAsia" w:ascii="宋体" w:hAnsi="宋体" w:eastAsia="宋体" w:cs="宋体"/>
                <w:color w:val="000000" w:themeColor="text1"/>
                <w:kern w:val="0"/>
                <w:sz w:val="21"/>
                <w:szCs w:val="21"/>
                <w:lang w:bidi="ar"/>
                <w14:textFill>
                  <w14:solidFill>
                    <w14:schemeClr w14:val="tx1"/>
                  </w14:solidFill>
                </w14:textFill>
              </w:rPr>
              <w:t>上传到医保系统。</w:t>
            </w:r>
          </w:p>
          <w:p w14:paraId="1C870D13">
            <w:pPr>
              <w:widowControl/>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支持多患者多处方智能合并发药，通过扫码自动核对药品信息，一次性完成多张处方的批量发药操作。</w:t>
            </w:r>
          </w:p>
          <w:p w14:paraId="70C6C8A4">
            <w:pPr>
              <w:widowControl/>
              <w:numPr>
                <w:ilvl w:val="0"/>
                <w:numId w:val="1"/>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发药时若扫码失败或无追溯码，支持后续补码处理。成功补码后，将药品追溯码重新上传至医保系统。</w:t>
            </w:r>
          </w:p>
        </w:tc>
        <w:tc>
          <w:tcPr>
            <w:tcW w:w="720" w:type="dxa"/>
            <w:tcBorders>
              <w:top w:val="single" w:color="000000" w:sz="4" w:space="0"/>
              <w:left w:val="single" w:color="000000" w:sz="4" w:space="0"/>
              <w:bottom w:val="single" w:color="000000" w:sz="4" w:space="0"/>
              <w:right w:val="single" w:color="000000" w:sz="4" w:space="0"/>
            </w:tcBorders>
            <w:vAlign w:val="center"/>
          </w:tcPr>
          <w:p w14:paraId="6CE16EB8">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700" w:type="dxa"/>
            <w:tcBorders>
              <w:top w:val="single" w:color="000000" w:sz="4" w:space="0"/>
              <w:left w:val="single" w:color="000000" w:sz="4" w:space="0"/>
              <w:bottom w:val="single" w:color="000000" w:sz="4" w:space="0"/>
              <w:right w:val="single" w:color="000000" w:sz="4" w:space="0"/>
            </w:tcBorders>
            <w:vAlign w:val="center"/>
          </w:tcPr>
          <w:p w14:paraId="6302E80C">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套</w:t>
            </w:r>
          </w:p>
        </w:tc>
        <w:tc>
          <w:tcPr>
            <w:tcW w:w="680" w:type="dxa"/>
            <w:tcBorders>
              <w:top w:val="single" w:color="000000" w:sz="4" w:space="0"/>
              <w:left w:val="single" w:color="000000" w:sz="4" w:space="0"/>
              <w:bottom w:val="single" w:color="000000" w:sz="4" w:space="0"/>
              <w:right w:val="single" w:color="000000" w:sz="4" w:space="0"/>
            </w:tcBorders>
          </w:tcPr>
          <w:p w14:paraId="0D28F898">
            <w:pPr>
              <w:widowControl/>
              <w:jc w:val="right"/>
              <w:rPr>
                <w:rFonts w:hint="eastAsia" w:ascii="宋体" w:hAnsi="宋体" w:eastAsia="宋体" w:cs="宋体"/>
                <w:color w:val="000000"/>
                <w:kern w:val="0"/>
                <w:sz w:val="21"/>
                <w:szCs w:val="21"/>
                <w:lang w:val="en-US" w:eastAsia="zh-CN"/>
              </w:rPr>
            </w:pPr>
          </w:p>
          <w:p w14:paraId="4D3451ED">
            <w:pPr>
              <w:widowControl/>
              <w:jc w:val="right"/>
              <w:rPr>
                <w:rFonts w:hint="eastAsia" w:ascii="宋体" w:hAnsi="宋体" w:eastAsia="宋体" w:cs="宋体"/>
                <w:color w:val="000000"/>
                <w:kern w:val="0"/>
                <w:sz w:val="21"/>
                <w:szCs w:val="21"/>
                <w:lang w:val="en-US" w:eastAsia="zh-CN"/>
              </w:rPr>
            </w:pPr>
          </w:p>
          <w:p w14:paraId="45AFDD74">
            <w:pPr>
              <w:widowControl/>
              <w:jc w:val="right"/>
              <w:rPr>
                <w:rFonts w:hint="eastAsia" w:ascii="宋体" w:hAnsi="宋体" w:eastAsia="宋体" w:cs="宋体"/>
                <w:color w:val="000000"/>
                <w:kern w:val="0"/>
                <w:sz w:val="21"/>
                <w:szCs w:val="21"/>
                <w:lang w:val="en-US" w:eastAsia="zh-CN"/>
              </w:rPr>
            </w:pPr>
          </w:p>
          <w:p w14:paraId="135D10B3">
            <w:pPr>
              <w:widowControl/>
              <w:jc w:val="right"/>
              <w:rPr>
                <w:rFonts w:hint="eastAsia" w:ascii="宋体" w:hAnsi="宋体" w:eastAsia="宋体" w:cs="宋体"/>
                <w:color w:val="000000"/>
                <w:kern w:val="0"/>
                <w:sz w:val="21"/>
                <w:szCs w:val="21"/>
                <w:lang w:val="en-US" w:eastAsia="zh-CN"/>
              </w:rPr>
            </w:pPr>
          </w:p>
          <w:p w14:paraId="3CA18972">
            <w:pPr>
              <w:widowControl/>
              <w:jc w:val="right"/>
              <w:rPr>
                <w:rFonts w:hint="eastAsia" w:ascii="宋体" w:hAnsi="宋体" w:eastAsia="宋体" w:cs="宋体"/>
                <w:color w:val="000000"/>
                <w:kern w:val="0"/>
                <w:sz w:val="21"/>
                <w:szCs w:val="21"/>
                <w:lang w:val="en-US" w:eastAsia="zh-CN"/>
              </w:rPr>
            </w:pPr>
          </w:p>
          <w:p w14:paraId="432F2E8F">
            <w:pPr>
              <w:widowControl/>
              <w:jc w:val="right"/>
              <w:rPr>
                <w:rFonts w:hint="eastAsia" w:ascii="宋体" w:hAnsi="宋体" w:eastAsia="宋体" w:cs="宋体"/>
                <w:color w:val="000000"/>
                <w:kern w:val="0"/>
                <w:sz w:val="21"/>
                <w:szCs w:val="21"/>
                <w:lang w:val="en-US" w:eastAsia="zh-CN"/>
              </w:rPr>
            </w:pPr>
          </w:p>
          <w:p w14:paraId="3AFF11E5">
            <w:pPr>
              <w:widowControl/>
              <w:jc w:val="right"/>
              <w:rPr>
                <w:rFonts w:hint="eastAsia" w:ascii="宋体" w:hAnsi="宋体" w:eastAsia="宋体" w:cs="宋体"/>
                <w:color w:val="000000"/>
                <w:kern w:val="0"/>
                <w:sz w:val="21"/>
                <w:szCs w:val="21"/>
              </w:rPr>
            </w:pPr>
          </w:p>
        </w:tc>
      </w:tr>
      <w:tr w14:paraId="50985263">
        <w:tblPrEx>
          <w:tblLayout w:type="fixed"/>
        </w:tblPrEx>
        <w:trPr>
          <w:trHeight w:val="414"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6BF8">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w:t>
            </w:r>
          </w:p>
        </w:tc>
        <w:tc>
          <w:tcPr>
            <w:tcW w:w="1443" w:type="dxa"/>
            <w:tcBorders>
              <w:top w:val="single" w:color="000000" w:sz="4" w:space="0"/>
              <w:left w:val="single" w:color="auto" w:sz="4" w:space="0"/>
              <w:bottom w:val="single" w:color="000000" w:sz="4" w:space="0"/>
              <w:right w:val="single" w:color="000000" w:sz="4" w:space="0"/>
            </w:tcBorders>
            <w:shd w:val="clear" w:color="auto" w:fill="auto"/>
            <w:vAlign w:val="center"/>
          </w:tcPr>
          <w:p w14:paraId="1AF0B2B8">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退药</w:t>
            </w:r>
          </w:p>
        </w:tc>
        <w:tc>
          <w:tcPr>
            <w:tcW w:w="4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4D0B">
            <w:pPr>
              <w:widowControl/>
              <w:numPr>
                <w:ilvl w:val="0"/>
                <w:numId w:val="2"/>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支持HIS通过接口调用，解析追溯码核对药品品种与原发药处方，确认品种与数量无误后生成退药记录。</w:t>
            </w:r>
          </w:p>
          <w:p w14:paraId="5C1168E8">
            <w:pPr>
              <w:widowControl/>
              <w:numPr>
                <w:ilvl w:val="0"/>
                <w:numId w:val="2"/>
              </w:numPr>
              <w:jc w:val="left"/>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lang w:val="en-US" w:eastAsia="zh-CN"/>
              </w:rPr>
              <w:t>支持扫码药品追溯码自动关联原处方信息进行核验退药，并基于原处方的发药记录实现一键退药处理。</w:t>
            </w:r>
          </w:p>
          <w:p w14:paraId="3BDB7E42">
            <w:pPr>
              <w:widowControl/>
              <w:numPr>
                <w:ilvl w:val="0"/>
                <w:numId w:val="2"/>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支持根据原处方的发药记录进行部分退药操作，退药完成后自动生成退药记录。</w:t>
            </w:r>
          </w:p>
          <w:p w14:paraId="0EBE21A9">
            <w:pPr>
              <w:widowControl/>
              <w:numPr>
                <w:ilvl w:val="0"/>
                <w:numId w:val="2"/>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支持退药记录查询，针对上传失败的记录提供批量重传功能。</w:t>
            </w:r>
          </w:p>
        </w:tc>
        <w:tc>
          <w:tcPr>
            <w:tcW w:w="720" w:type="dxa"/>
            <w:tcBorders>
              <w:top w:val="single" w:color="000000" w:sz="4" w:space="0"/>
              <w:left w:val="single" w:color="000000" w:sz="4" w:space="0"/>
              <w:bottom w:val="single" w:color="000000" w:sz="4" w:space="0"/>
              <w:right w:val="single" w:color="000000" w:sz="4" w:space="0"/>
            </w:tcBorders>
            <w:vAlign w:val="center"/>
          </w:tcPr>
          <w:p w14:paraId="0C39A335">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700" w:type="dxa"/>
            <w:tcBorders>
              <w:top w:val="single" w:color="000000" w:sz="4" w:space="0"/>
              <w:left w:val="single" w:color="000000" w:sz="4" w:space="0"/>
              <w:bottom w:val="single" w:color="000000" w:sz="4" w:space="0"/>
              <w:right w:val="single" w:color="000000" w:sz="4" w:space="0"/>
            </w:tcBorders>
            <w:vAlign w:val="center"/>
          </w:tcPr>
          <w:p w14:paraId="092D36B3">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套</w:t>
            </w:r>
          </w:p>
        </w:tc>
        <w:tc>
          <w:tcPr>
            <w:tcW w:w="680" w:type="dxa"/>
            <w:tcBorders>
              <w:top w:val="single" w:color="000000" w:sz="4" w:space="0"/>
              <w:left w:val="single" w:color="000000" w:sz="4" w:space="0"/>
              <w:bottom w:val="single" w:color="000000" w:sz="4" w:space="0"/>
              <w:right w:val="single" w:color="000000" w:sz="4" w:space="0"/>
            </w:tcBorders>
          </w:tcPr>
          <w:p w14:paraId="0C29D5F5">
            <w:pPr>
              <w:widowControl/>
              <w:jc w:val="right"/>
              <w:rPr>
                <w:rFonts w:hint="eastAsia" w:ascii="宋体" w:hAnsi="宋体" w:eastAsia="宋体" w:cs="宋体"/>
                <w:color w:val="000000"/>
                <w:kern w:val="0"/>
                <w:sz w:val="21"/>
                <w:szCs w:val="21"/>
                <w:lang w:val="en-US" w:eastAsia="zh-CN"/>
              </w:rPr>
            </w:pPr>
          </w:p>
        </w:tc>
      </w:tr>
      <w:tr w14:paraId="625D0052">
        <w:tblPrEx>
          <w:tblLayout w:type="fixed"/>
        </w:tblPrEx>
        <w:trPr>
          <w:trHeight w:val="414"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2109">
            <w:pPr>
              <w:widowControl/>
              <w:jc w:val="center"/>
              <w:rPr>
                <w:rFonts w:hint="eastAsia" w:ascii="宋体" w:hAnsi="宋体" w:eastAsia="宋体" w:cs="宋体"/>
                <w:color w:val="000000"/>
                <w:kern w:val="0"/>
                <w:sz w:val="21"/>
                <w:szCs w:val="21"/>
                <w:lang w:val="en-US" w:eastAsia="zh-CN"/>
              </w:rPr>
            </w:pPr>
            <w:bookmarkStart w:id="0" w:name="_GoBack"/>
            <w:bookmarkEnd w:id="0"/>
            <w:r>
              <w:rPr>
                <w:rFonts w:hint="eastAsia" w:ascii="宋体" w:hAnsi="宋体" w:eastAsia="宋体" w:cs="宋体"/>
                <w:color w:val="000000"/>
                <w:kern w:val="0"/>
                <w:sz w:val="21"/>
                <w:szCs w:val="21"/>
                <w:lang w:val="en-US" w:eastAsia="zh-CN"/>
              </w:rPr>
              <w:t>4</w:t>
            </w:r>
          </w:p>
        </w:tc>
        <w:tc>
          <w:tcPr>
            <w:tcW w:w="1443" w:type="dxa"/>
            <w:tcBorders>
              <w:top w:val="single" w:color="000000" w:sz="4" w:space="0"/>
              <w:left w:val="single" w:color="auto" w:sz="4" w:space="0"/>
              <w:bottom w:val="single" w:color="000000" w:sz="4" w:space="0"/>
              <w:right w:val="single" w:color="000000" w:sz="4" w:space="0"/>
            </w:tcBorders>
            <w:shd w:val="clear" w:color="auto" w:fill="auto"/>
            <w:vAlign w:val="center"/>
          </w:tcPr>
          <w:p w14:paraId="5F8E4C12">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拆零</w:t>
            </w:r>
          </w:p>
        </w:tc>
        <w:tc>
          <w:tcPr>
            <w:tcW w:w="4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30BE">
            <w:pPr>
              <w:widowControl/>
              <w:numPr>
                <w:ilvl w:val="0"/>
                <w:numId w:val="3"/>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过扫码设备扫描药品追溯码进行拆零操作。系统根据包装转换比自动调整库存，增加拆零药品库存同时生成拆零流水单记录追溯码关联信息。</w:t>
            </w:r>
          </w:p>
          <w:p w14:paraId="204EEC25">
            <w:pPr>
              <w:widowControl/>
              <w:numPr>
                <w:ilvl w:val="0"/>
                <w:numId w:val="3"/>
              </w:numPr>
              <w:jc w:val="left"/>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lang w:val="en-US" w:eastAsia="zh-CN"/>
              </w:rPr>
              <w:t>药品拆零扫码支持两种模式：单品扫码模式（扫描最小包装码入库）和箱码扫码模式（扫描大中箱码自动带出最小包装码）。</w:t>
            </w:r>
          </w:p>
          <w:p w14:paraId="1AC40E95">
            <w:pPr>
              <w:widowControl/>
              <w:numPr>
                <w:ilvl w:val="0"/>
                <w:numId w:val="3"/>
              </w:num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在发药环节，HIS将拆零处方推送至平台，自动匹配拆零库的追溯码信息，并按“先拆先消耗”原则完成拆零发药，同时上传药品追溯数据至医保系统。注：住院发药拆零数据需要暂存。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4666">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173F">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套</w:t>
            </w:r>
          </w:p>
        </w:tc>
        <w:tc>
          <w:tcPr>
            <w:tcW w:w="680" w:type="dxa"/>
            <w:tcBorders>
              <w:top w:val="single" w:color="000000" w:sz="4" w:space="0"/>
              <w:left w:val="single" w:color="000000" w:sz="4" w:space="0"/>
              <w:bottom w:val="single" w:color="000000" w:sz="4" w:space="0"/>
              <w:right w:val="single" w:color="000000" w:sz="4" w:space="0"/>
            </w:tcBorders>
          </w:tcPr>
          <w:p w14:paraId="7E8960DF">
            <w:pPr>
              <w:widowControl/>
              <w:jc w:val="right"/>
              <w:rPr>
                <w:rFonts w:hint="eastAsia" w:ascii="宋体" w:hAnsi="宋体" w:eastAsia="宋体" w:cs="宋体"/>
                <w:color w:val="000000"/>
                <w:kern w:val="0"/>
                <w:sz w:val="21"/>
                <w:szCs w:val="21"/>
                <w:lang w:val="en-US" w:eastAsia="zh-CN"/>
              </w:rPr>
            </w:pPr>
          </w:p>
        </w:tc>
      </w:tr>
    </w:tbl>
    <w:p w14:paraId="24AB0B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jc w:val="both"/>
        <w:textAlignment w:val="auto"/>
      </w:pPr>
    </w:p>
    <w:p w14:paraId="1148A477">
      <w:pPr>
        <w:keepNext w:val="0"/>
        <w:keepLines w:val="0"/>
        <w:pageBreakBefore w:val="0"/>
        <w:widowControl w:val="0"/>
        <w:numPr>
          <w:ilvl w:val="0"/>
          <w:numId w:val="0"/>
        </w:numPr>
        <w:kinsoku/>
        <w:wordWrap/>
        <w:overflowPunct/>
        <w:topLinePunct w:val="0"/>
        <w:autoSpaceDE/>
        <w:autoSpaceDN/>
        <w:bidi w:val="0"/>
        <w:adjustRightInd/>
        <w:snapToGrid/>
        <w:spacing w:line="550" w:lineRule="exact"/>
        <w:jc w:val="left"/>
        <w:textAlignment w:val="auto"/>
        <w:rPr>
          <w:rFonts w:hint="eastAsia" w:ascii="方正仿宋_GB2312" w:hAnsi="方正仿宋_GB2312" w:eastAsia="方正仿宋_GB2312" w:cs="方正仿宋_GB2312"/>
          <w:i w:val="0"/>
          <w:iCs w:val="0"/>
          <w:caps w:val="0"/>
          <w:color w:val="000000" w:themeColor="text1"/>
          <w:spacing w:val="0"/>
          <w:sz w:val="28"/>
          <w:szCs w:val="28"/>
          <w:shd w:val="clear" w:fill="FFFFFF"/>
          <w:lang w:eastAsia="zh-CN"/>
          <w14:textFill>
            <w14:solidFill>
              <w14:schemeClr w14:val="tx1"/>
            </w14:solidFill>
          </w14:textFill>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embedRegular r:id="rId1" w:fontKey="{E7BE5CD6-504A-C210-6DAE-0A6942BF114B}"/>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方正仿宋_GB2312">
    <w:panose1 w:val="02000000000000000000"/>
    <w:charset w:val="86"/>
    <w:family w:val="auto"/>
    <w:pitch w:val="default"/>
    <w:sig w:usb0="00000000" w:usb1="00000000" w:usb2="00000012" w:usb3="00000000" w:csb0="00040001" w:csb1="00000000"/>
    <w:embedRegular r:id="rId2" w:fontKey="{ABC2FC48-9B37-1416-6DAE-0A6988EDE9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445B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-224155</wp:posOffset>
              </wp:positionV>
              <wp:extent cx="913765" cy="2057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13765" cy="205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68A83">
                          <w:pPr>
                            <w:pStyle w:val="2"/>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7.65pt;height:16.2pt;width:71.95pt;mso-position-horizontal:outside;mso-position-horizontal-relative:margin;z-index:251659264;mso-width-relative:page;mso-height-relative:page;" filled="f" stroked="f" coordsize="21600,21600" o:gfxdata="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O4i2xLWAAAABwEAAA8A&#10;AAAAAAAAAQAgAAAAIgAAAGRycy9kb3ducmV2LnhtbFBLAQIUABQAAAAIAIdO4kCsOuYZGQIAABME&#10;AAAOAAAAAAAAAAEAIAAAACUBAABkcnMvZTJvRG9jLnhtbFBLBQYAAAAABgAGAFkBAACwBQAAAAAA&#10;">
              <v:fill on="f" focussize="0,0"/>
              <v:stroke on="f" weight="0.5pt"/>
              <v:imagedata o:title=""/>
              <o:lock v:ext="edit" aspectratio="f"/>
              <v:textbox inset="0mm,0mm,0mm,0mm">
                <w:txbxContent>
                  <w:p w14:paraId="16068A83">
                    <w:pPr>
                      <w:pStyle w:val="2"/>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4A4BF">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18022"/>
    <w:multiLevelType w:val="singleLevel"/>
    <w:tmpl w:val="11E18022"/>
    <w:lvl w:ilvl="0" w:tentative="0">
      <w:start w:val="1"/>
      <w:numFmt w:val="decimal"/>
      <w:suff w:val="nothing"/>
      <w:lvlText w:val="%1、"/>
      <w:lvlJc w:val="left"/>
    </w:lvl>
  </w:abstractNum>
  <w:abstractNum w:abstractNumId="1">
    <w:nsid w:val="1F490EDA"/>
    <w:multiLevelType w:val="singleLevel"/>
    <w:tmpl w:val="1F490EDA"/>
    <w:lvl w:ilvl="0" w:tentative="0">
      <w:start w:val="1"/>
      <w:numFmt w:val="decimal"/>
      <w:suff w:val="nothing"/>
      <w:lvlText w:val="%1、"/>
      <w:lvlJc w:val="left"/>
    </w:lvl>
  </w:abstractNum>
  <w:abstractNum w:abstractNumId="2">
    <w:nsid w:val="78850B0F"/>
    <w:multiLevelType w:val="singleLevel"/>
    <w:tmpl w:val="78850B0F"/>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5">
    <w:name w:val="Title"/>
    <w:basedOn w:val="1"/>
    <w:next w:val="1"/>
    <w:qFormat/>
    <w:uiPriority w:val="10"/>
    <w:pPr>
      <w:spacing w:before="240" w:after="60"/>
      <w:jc w:val="center"/>
      <w:outlineLvl w:val="0"/>
    </w:pPr>
    <w:rPr>
      <w:rFonts w:ascii="Cambria" w:hAnsi="Cambria"/>
      <w:b/>
      <w:bCs/>
      <w:sz w:val="32"/>
      <w:szCs w:val="32"/>
    </w:rPr>
  </w:style>
  <w:style w:type="character" w:styleId="7">
    <w:name w:val="Strong"/>
    <w:basedOn w:val="6"/>
    <w:qFormat/>
    <w:uiPriority w:val="0"/>
    <w:rPr>
      <w:b/>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font91"/>
    <w:basedOn w:val="6"/>
    <w:qFormat/>
    <w:uiPriority w:val="0"/>
    <w:rPr>
      <w:rFonts w:hint="eastAsia" w:ascii="宋体" w:hAnsi="宋体" w:eastAsia="宋体" w:cs="宋体"/>
      <w:b/>
      <w:bCs/>
      <w:color w:val="000000"/>
      <w:sz w:val="20"/>
      <w:szCs w:val="20"/>
      <w:u w:val="none"/>
    </w:rPr>
  </w:style>
  <w:style w:type="character" w:customStyle="1" w:styleId="11">
    <w:name w:val="font01"/>
    <w:basedOn w:val="6"/>
    <w:qFormat/>
    <w:uiPriority w:val="0"/>
    <w:rPr>
      <w:rFonts w:hint="eastAsia" w:ascii="宋体" w:hAnsi="宋体" w:eastAsia="宋体" w:cs="宋体"/>
      <w:color w:val="000000"/>
      <w:sz w:val="22"/>
      <w:szCs w:val="22"/>
      <w:u w:val="none"/>
    </w:rPr>
  </w:style>
  <w:style w:type="character" w:customStyle="1" w:styleId="12">
    <w:name w:val="font61"/>
    <w:basedOn w:val="6"/>
    <w:qFormat/>
    <w:uiPriority w:val="0"/>
    <w:rPr>
      <w:rFonts w:hint="eastAsia" w:ascii="宋体" w:hAnsi="宋体" w:eastAsia="宋体" w:cs="宋体"/>
      <w:color w:val="000000"/>
      <w:sz w:val="22"/>
      <w:szCs w:val="22"/>
      <w:u w:val="none"/>
    </w:rPr>
  </w:style>
  <w:style w:type="character" w:customStyle="1" w:styleId="13">
    <w:name w:val="font121"/>
    <w:basedOn w:val="6"/>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1530</Words>
  <Characters>1667</Characters>
  <Lines>0</Lines>
  <Paragraphs>0</Paragraphs>
  <ScaleCrop>false</ScaleCrop>
  <LinksUpToDate>false</LinksUpToDate>
  <CharactersWithSpaces>1672</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2023-10-07T17:07:00Z</dcterms:created>
  <dc:creator>y2﹉</dc:creator>
  <cp:lastModifiedBy>iPhone</cp:lastModifiedBy>
  <cp:lastPrinted>2025-10-28T18:10:50Z</cp:lastPrinted>
  <dcterms:modified xsi:type="dcterms:W3CDTF">2025-11-05T09:54:53Z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2052-12.24.0</vt:lpwstr>
  </property>
  <property fmtid="{D5CDD505-2E9C-101B-9397-08002B2CF9AE}" pid="3" name="ICV">
    <vt:lpwstr>B4A189BEC5470B686DAE0A698E4AB90A_33</vt:lpwstr>
  </property>
  <property fmtid="{D5CDD505-2E9C-101B-9397-08002B2CF9AE}" pid="4" name="KSOTemplateDocerSaveRecord">
    <vt:lpwstr>eyJoZGlkIjoiMjYzZWRiMWIyMTU3M2IzMzUyM2VlZjljOGI3N2NkNzMiLCJ1c2VySWQiOiIyMDc2MTY0MjYifQ==</vt:lpwstr>
  </property>
</Properties>
</file>