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AF56F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技术需求及服务要求</w:t>
      </w:r>
    </w:p>
    <w:p w14:paraId="487B2B06"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142E71B1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服务要求</w:t>
      </w:r>
    </w:p>
    <w:p w14:paraId="5711668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1、提供微信、电话等在线服务，解答科室在系统内使用、维护过程中遇到的问题，及时提出解决问题的建议和操作方法</w:t>
      </w:r>
    </w:p>
    <w:p w14:paraId="1D3AE2A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2、提供现场支持，在维保期内，优先通过在线服务进行问题处理，如需要现场技术支持时，需在1个工作日内到达医院。</w:t>
      </w:r>
    </w:p>
    <w:p w14:paraId="3A816AC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3、日常维护过程中，需提供 7*24 小时服务，故障响应时间需在 30 分钟内，常规问题2 小时内解决，重大问题 24 小时内解决。</w:t>
      </w:r>
    </w:p>
    <w:p w14:paraId="3D31647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4、维保期内，如发现软件故障，需进行免费修复。</w:t>
      </w:r>
    </w:p>
    <w:p w14:paraId="6481C98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5、维保期内，院方提出的个性化需求，厂家应及时予以合理评估并给出开发费用，双方协商解决。</w:t>
      </w:r>
    </w:p>
    <w:p w14:paraId="32E9EB5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6、血透系统需对接我院CA系统，实现血透系统CA登录、相关数据认证及记录单签名等功能。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11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@</cp:lastModifiedBy>
  <dcterms:modified xsi:type="dcterms:W3CDTF">2025-11-06T03:13:07Z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eyJoZGlkIjoiODAwYTU2YTU4MGU3MzI3ZTgzYTE5YWY2NTcwMzg5MmIiLCJ1c2VySWQiOiIzMDUyMTIzODMifQ==</vt:lpwstr>
  </property>
  <property fmtid="{D5CDD505-2E9C-101B-9397-08002B2CF9AE}" pid="4" name="ICV">
    <vt:lpwstr>00508852DDBF42E3832B7BBC640582CC_12</vt:lpwstr>
  </property>
</Properties>
</file>